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1EC934" w14:textId="0B2224BB" w:rsidR="00416EF2" w:rsidRDefault="00E70BD7" w:rsidP="003C395C">
      <w:pPr>
        <w:jc w:val="center"/>
        <w:rPr>
          <w:rFonts w:ascii="Topmarks" w:hAnsi="Topmarks"/>
          <w:b/>
          <w:bCs/>
          <w:sz w:val="32"/>
          <w:szCs w:val="32"/>
        </w:rPr>
      </w:pPr>
      <w:r>
        <w:rPr>
          <w:noProof/>
        </w:rPr>
        <w:drawing>
          <wp:anchor distT="0" distB="0" distL="114300" distR="114300" simplePos="0" relativeHeight="251658240" behindDoc="0" locked="0" layoutInCell="1" allowOverlap="1" wp14:anchorId="37E7CB3D" wp14:editId="2CA55C88">
            <wp:simplePos x="0" y="0"/>
            <wp:positionH relativeFrom="margin">
              <wp:align>left</wp:align>
            </wp:positionH>
            <wp:positionV relativeFrom="paragraph">
              <wp:posOffset>0</wp:posOffset>
            </wp:positionV>
            <wp:extent cx="1952625" cy="480695"/>
            <wp:effectExtent l="0" t="0" r="9525"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52625" cy="480695"/>
                    </a:xfrm>
                    <a:prstGeom prst="rect">
                      <a:avLst/>
                    </a:prstGeom>
                  </pic:spPr>
                </pic:pic>
              </a:graphicData>
            </a:graphic>
            <wp14:sizeRelH relativeFrom="page">
              <wp14:pctWidth>0</wp14:pctWidth>
            </wp14:sizeRelH>
            <wp14:sizeRelV relativeFrom="page">
              <wp14:pctHeight>0</wp14:pctHeight>
            </wp14:sizeRelV>
          </wp:anchor>
        </w:drawing>
      </w:r>
      <w:r w:rsidR="003C395C" w:rsidRPr="003C395C">
        <w:rPr>
          <w:rFonts w:ascii="Topmarks" w:hAnsi="Topmarks"/>
          <w:b/>
          <w:bCs/>
          <w:sz w:val="32"/>
          <w:szCs w:val="32"/>
        </w:rPr>
        <w:t>Strategies to Scaffold Learning</w:t>
      </w:r>
    </w:p>
    <w:p w14:paraId="19D5D9F0" w14:textId="72A7DA7D" w:rsidR="00C661E7" w:rsidRDefault="003C395C" w:rsidP="00C661E7">
      <w:pPr>
        <w:jc w:val="center"/>
        <w:rPr>
          <w:rFonts w:ascii="Topmarks" w:hAnsi="Topmarks"/>
          <w:b/>
          <w:bCs/>
          <w:sz w:val="32"/>
          <w:szCs w:val="32"/>
        </w:rPr>
      </w:pPr>
      <w:r>
        <w:rPr>
          <w:rFonts w:ascii="Topmarks" w:hAnsi="Topmarks"/>
          <w:b/>
          <w:bCs/>
          <w:sz w:val="32"/>
          <w:szCs w:val="32"/>
        </w:rPr>
        <w:t xml:space="preserve">Subject: </w:t>
      </w:r>
      <w:r w:rsidR="00C661E7">
        <w:rPr>
          <w:rFonts w:ascii="Topmarks" w:hAnsi="Topmarks"/>
          <w:b/>
          <w:bCs/>
          <w:sz w:val="32"/>
          <w:szCs w:val="32"/>
        </w:rPr>
        <w:t>Music</w:t>
      </w:r>
      <w:bookmarkStart w:id="0" w:name="_GoBack"/>
      <w:bookmarkEnd w:id="0"/>
    </w:p>
    <w:tbl>
      <w:tblPr>
        <w:tblStyle w:val="TableGrid"/>
        <w:tblpPr w:leftFromText="180" w:rightFromText="180" w:horzAnchor="margin" w:tblpY="3810"/>
        <w:tblW w:w="0" w:type="auto"/>
        <w:tblLook w:val="04A0" w:firstRow="1" w:lastRow="0" w:firstColumn="1" w:lastColumn="0" w:noHBand="0" w:noVBand="1"/>
      </w:tblPr>
      <w:tblGrid>
        <w:gridCol w:w="7276"/>
        <w:gridCol w:w="7276"/>
        <w:gridCol w:w="7276"/>
      </w:tblGrid>
      <w:tr w:rsidR="003C395C" w14:paraId="57EACD08" w14:textId="77777777" w:rsidTr="447ADEFB">
        <w:trPr>
          <w:trHeight w:val="4915"/>
        </w:trPr>
        <w:tc>
          <w:tcPr>
            <w:tcW w:w="7276" w:type="dxa"/>
          </w:tcPr>
          <w:p w14:paraId="6D74C4E4" w14:textId="60F26D30" w:rsidR="003C395C" w:rsidRDefault="003C395C" w:rsidP="007554CF">
            <w:pPr>
              <w:jc w:val="center"/>
              <w:rPr>
                <w:rFonts w:ascii="Topmarks" w:hAnsi="Topmarks"/>
                <w:b/>
                <w:bCs/>
                <w:sz w:val="24"/>
                <w:szCs w:val="24"/>
                <w:u w:val="single"/>
              </w:rPr>
            </w:pPr>
            <w:r w:rsidRPr="003C395C">
              <w:rPr>
                <w:rFonts w:ascii="Topmarks" w:hAnsi="Topmarks"/>
                <w:b/>
                <w:bCs/>
                <w:sz w:val="24"/>
                <w:szCs w:val="24"/>
                <w:u w:val="single"/>
              </w:rPr>
              <w:t xml:space="preserve">How can I support learners who </w:t>
            </w:r>
            <w:r w:rsidR="00CC56F4">
              <w:rPr>
                <w:rFonts w:ascii="Topmarks" w:hAnsi="Topmarks"/>
                <w:b/>
                <w:bCs/>
                <w:sz w:val="24"/>
                <w:szCs w:val="24"/>
                <w:u w:val="single"/>
              </w:rPr>
              <w:t>have sensory issues?</w:t>
            </w:r>
          </w:p>
          <w:p w14:paraId="598C9AEF" w14:textId="77777777" w:rsidR="007A1EC5" w:rsidRDefault="007A1EC5" w:rsidP="007A1EC5">
            <w:pPr>
              <w:pStyle w:val="ListParagraph"/>
              <w:numPr>
                <w:ilvl w:val="0"/>
                <w:numId w:val="4"/>
              </w:numPr>
              <w:rPr>
                <w:rFonts w:ascii="Topmarks" w:hAnsi="Topmarks"/>
                <w:sz w:val="18"/>
                <w:szCs w:val="18"/>
              </w:rPr>
            </w:pPr>
            <w:r w:rsidRPr="007A1EC5">
              <w:rPr>
                <w:rFonts w:ascii="Topmarks" w:hAnsi="Topmarks"/>
                <w:sz w:val="18"/>
                <w:szCs w:val="18"/>
              </w:rPr>
              <w:t xml:space="preserve">Consider the size of the group and allow for the fact that learners may benefit from smaller groups or individual work. </w:t>
            </w:r>
          </w:p>
          <w:p w14:paraId="707BE0F6" w14:textId="77777777" w:rsidR="007A1EC5" w:rsidRDefault="007A1EC5" w:rsidP="007A1EC5">
            <w:pPr>
              <w:pStyle w:val="ListParagraph"/>
              <w:numPr>
                <w:ilvl w:val="0"/>
                <w:numId w:val="4"/>
              </w:numPr>
              <w:rPr>
                <w:rFonts w:ascii="Topmarks" w:hAnsi="Topmarks"/>
                <w:sz w:val="18"/>
                <w:szCs w:val="18"/>
              </w:rPr>
            </w:pPr>
            <w:r w:rsidRPr="007A1EC5">
              <w:rPr>
                <w:rFonts w:ascii="Topmarks" w:hAnsi="Topmarks"/>
                <w:sz w:val="18"/>
                <w:szCs w:val="18"/>
              </w:rPr>
              <w:t xml:space="preserve">Music lessons can be challenging for learners with auditory sensitivity. Pre-exposure to music and/or instruments can help to prepare learners, as can the use of a neighbouring room, if space allows. Ear defenders can enable learners to partake in lessons with more confidence. </w:t>
            </w:r>
          </w:p>
          <w:p w14:paraId="7B994D92" w14:textId="77777777" w:rsidR="007A1EC5" w:rsidRDefault="007A1EC5" w:rsidP="007A1EC5">
            <w:pPr>
              <w:pStyle w:val="ListParagraph"/>
              <w:numPr>
                <w:ilvl w:val="0"/>
                <w:numId w:val="4"/>
              </w:numPr>
              <w:rPr>
                <w:rFonts w:ascii="Topmarks" w:hAnsi="Topmarks"/>
                <w:sz w:val="18"/>
                <w:szCs w:val="18"/>
              </w:rPr>
            </w:pPr>
            <w:r w:rsidRPr="007A1EC5">
              <w:rPr>
                <w:rFonts w:ascii="Topmarks" w:hAnsi="Topmarks"/>
                <w:sz w:val="18"/>
                <w:szCs w:val="18"/>
              </w:rPr>
              <w:t xml:space="preserve">Create opportunities for physical contact with instruments and/or sound sources if learners cannot hear sounds clearly. Percussion, stringed, wind and brass instruments all lend themselves well to this. </w:t>
            </w:r>
          </w:p>
          <w:p w14:paraId="7BD0CB45" w14:textId="3BF686AC" w:rsidR="003C395C" w:rsidRPr="007A1EC5" w:rsidRDefault="007A1EC5" w:rsidP="007A1EC5">
            <w:pPr>
              <w:pStyle w:val="ListParagraph"/>
              <w:numPr>
                <w:ilvl w:val="0"/>
                <w:numId w:val="4"/>
              </w:numPr>
              <w:rPr>
                <w:rFonts w:ascii="Topmarks" w:hAnsi="Topmarks"/>
                <w:sz w:val="18"/>
                <w:szCs w:val="18"/>
              </w:rPr>
            </w:pPr>
            <w:r w:rsidRPr="007A1EC5">
              <w:rPr>
                <w:rFonts w:ascii="Topmarks" w:hAnsi="Topmarks"/>
                <w:sz w:val="18"/>
                <w:szCs w:val="18"/>
              </w:rPr>
              <w:t>Consider the lighting in the learning environment and if learners would benefit from reduced glare on interactive whiteboards and computer screens.</w:t>
            </w:r>
          </w:p>
          <w:p w14:paraId="3A7E0FEC" w14:textId="77777777" w:rsidR="007A1EC5" w:rsidRDefault="007A1EC5" w:rsidP="007A1EC5">
            <w:pPr>
              <w:rPr>
                <w:rFonts w:ascii="Topmarks" w:hAnsi="Topmarks"/>
                <w:sz w:val="24"/>
                <w:szCs w:val="24"/>
              </w:rPr>
            </w:pPr>
          </w:p>
          <w:p w14:paraId="50A7548D" w14:textId="77777777" w:rsidR="007A1EC5" w:rsidRDefault="007A1EC5" w:rsidP="007A1EC5">
            <w:pPr>
              <w:rPr>
                <w:rFonts w:ascii="Topmarks" w:hAnsi="Topmarks"/>
                <w:sz w:val="24"/>
                <w:szCs w:val="24"/>
              </w:rPr>
            </w:pPr>
          </w:p>
          <w:p w14:paraId="447D480E" w14:textId="11359BD1" w:rsidR="007A1EC5" w:rsidRPr="007A1EC5" w:rsidRDefault="007A1EC5" w:rsidP="007A1EC5">
            <w:pPr>
              <w:ind w:firstLine="720"/>
              <w:rPr>
                <w:rFonts w:ascii="Topmarks" w:hAnsi="Topmarks"/>
                <w:sz w:val="24"/>
                <w:szCs w:val="24"/>
              </w:rPr>
            </w:pPr>
          </w:p>
        </w:tc>
        <w:tc>
          <w:tcPr>
            <w:tcW w:w="7276" w:type="dxa"/>
          </w:tcPr>
          <w:p w14:paraId="1E2FD176" w14:textId="77777777" w:rsidR="00B56222" w:rsidRPr="00B56222" w:rsidRDefault="00B56222" w:rsidP="00B56222">
            <w:pPr>
              <w:jc w:val="center"/>
              <w:rPr>
                <w:rFonts w:ascii="Topmarks" w:hAnsi="Topmarks"/>
                <w:b/>
                <w:bCs/>
                <w:sz w:val="24"/>
                <w:szCs w:val="24"/>
                <w:u w:val="single"/>
              </w:rPr>
            </w:pPr>
            <w:r w:rsidRPr="00B56222">
              <w:rPr>
                <w:rFonts w:ascii="Topmarks" w:hAnsi="Topmarks"/>
                <w:b/>
                <w:bCs/>
                <w:sz w:val="24"/>
                <w:szCs w:val="24"/>
                <w:u w:val="single"/>
              </w:rPr>
              <w:t xml:space="preserve">How can I support learners who struggle to access </w:t>
            </w:r>
            <w:proofErr w:type="gramStart"/>
            <w:r w:rsidRPr="00B56222">
              <w:rPr>
                <w:rFonts w:ascii="Topmarks" w:hAnsi="Topmarks"/>
                <w:b/>
                <w:bCs/>
                <w:sz w:val="24"/>
                <w:szCs w:val="24"/>
                <w:u w:val="single"/>
              </w:rPr>
              <w:t>lessons</w:t>
            </w:r>
            <w:proofErr w:type="gramEnd"/>
            <w:r w:rsidRPr="00B56222">
              <w:rPr>
                <w:rFonts w:ascii="Topmarks" w:hAnsi="Topmarks"/>
                <w:b/>
                <w:bCs/>
                <w:sz w:val="24"/>
                <w:szCs w:val="24"/>
                <w:u w:val="single"/>
              </w:rPr>
              <w:t xml:space="preserve"> </w:t>
            </w:r>
          </w:p>
          <w:p w14:paraId="708C8C74" w14:textId="77777777" w:rsidR="003C395C" w:rsidRDefault="00B56222" w:rsidP="00B56222">
            <w:pPr>
              <w:jc w:val="center"/>
              <w:rPr>
                <w:rFonts w:ascii="Topmarks" w:hAnsi="Topmarks"/>
                <w:b/>
                <w:bCs/>
                <w:sz w:val="24"/>
                <w:szCs w:val="24"/>
                <w:u w:val="single"/>
              </w:rPr>
            </w:pPr>
            <w:r w:rsidRPr="00B56222">
              <w:rPr>
                <w:rFonts w:ascii="Topmarks" w:hAnsi="Topmarks"/>
                <w:b/>
                <w:bCs/>
                <w:sz w:val="24"/>
                <w:szCs w:val="24"/>
                <w:u w:val="single"/>
              </w:rPr>
              <w:t>because of literacy difficulties?</w:t>
            </w:r>
          </w:p>
          <w:p w14:paraId="6D601F9B" w14:textId="77777777" w:rsidR="00B56222" w:rsidRPr="00B56222" w:rsidRDefault="00B56222" w:rsidP="00B56222">
            <w:pPr>
              <w:pStyle w:val="ListParagraph"/>
              <w:numPr>
                <w:ilvl w:val="0"/>
                <w:numId w:val="5"/>
              </w:numPr>
              <w:rPr>
                <w:rFonts w:ascii="Topmarks" w:hAnsi="Topmarks"/>
                <w:sz w:val="24"/>
                <w:szCs w:val="24"/>
              </w:rPr>
            </w:pPr>
            <w:r w:rsidRPr="00B56222">
              <w:rPr>
                <w:rFonts w:ascii="Topmarks" w:hAnsi="Topmarks"/>
                <w:sz w:val="18"/>
                <w:szCs w:val="18"/>
              </w:rPr>
              <w:t xml:space="preserve">Provide visual aids to enable learners to identify instruments and musical dimensions, such as pitch and tempo. </w:t>
            </w:r>
          </w:p>
          <w:p w14:paraId="4E5A5DD9" w14:textId="77777777" w:rsidR="00B56222" w:rsidRPr="00B56222" w:rsidRDefault="00B56222" w:rsidP="00B56222">
            <w:pPr>
              <w:pStyle w:val="ListParagraph"/>
              <w:numPr>
                <w:ilvl w:val="0"/>
                <w:numId w:val="5"/>
              </w:numPr>
              <w:rPr>
                <w:rFonts w:ascii="Topmarks" w:hAnsi="Topmarks"/>
                <w:sz w:val="24"/>
                <w:szCs w:val="24"/>
              </w:rPr>
            </w:pPr>
            <w:r w:rsidRPr="00B56222">
              <w:rPr>
                <w:rFonts w:ascii="Topmarks" w:hAnsi="Topmarks"/>
                <w:sz w:val="18"/>
                <w:szCs w:val="18"/>
              </w:rPr>
              <w:t>Use strategies such as modelling, demonstrating and imitating to help learners understand musical concepts.</w:t>
            </w:r>
          </w:p>
          <w:p w14:paraId="15421023" w14:textId="7BCF3ED2" w:rsidR="00B56222" w:rsidRPr="00B56222" w:rsidRDefault="00B56222" w:rsidP="00B56222">
            <w:pPr>
              <w:pStyle w:val="ListParagraph"/>
              <w:numPr>
                <w:ilvl w:val="0"/>
                <w:numId w:val="5"/>
              </w:numPr>
              <w:rPr>
                <w:rFonts w:ascii="Topmarks" w:hAnsi="Topmarks"/>
                <w:sz w:val="24"/>
                <w:szCs w:val="24"/>
              </w:rPr>
            </w:pPr>
            <w:r w:rsidRPr="00B56222">
              <w:rPr>
                <w:rFonts w:ascii="Topmarks" w:hAnsi="Topmarks"/>
                <w:sz w:val="18"/>
                <w:szCs w:val="18"/>
              </w:rPr>
              <w:t>Create a graphic score or pictorial representations of a composition to provide a form of non-verbal communication.</w:t>
            </w:r>
          </w:p>
        </w:tc>
        <w:tc>
          <w:tcPr>
            <w:tcW w:w="7276" w:type="dxa"/>
          </w:tcPr>
          <w:p w14:paraId="636961A6" w14:textId="77777777" w:rsidR="003C395C" w:rsidRDefault="003C395C" w:rsidP="007554CF">
            <w:pPr>
              <w:jc w:val="center"/>
              <w:rPr>
                <w:rFonts w:ascii="Topmarks" w:hAnsi="Topmarks"/>
                <w:b/>
                <w:bCs/>
                <w:sz w:val="24"/>
                <w:szCs w:val="24"/>
                <w:u w:val="single"/>
              </w:rPr>
            </w:pPr>
            <w:r w:rsidRPr="003C395C">
              <w:rPr>
                <w:rFonts w:ascii="Topmarks" w:hAnsi="Topmarks"/>
                <w:b/>
                <w:bCs/>
                <w:sz w:val="24"/>
                <w:szCs w:val="24"/>
                <w:u w:val="single"/>
              </w:rPr>
              <w:t>How can I support learners who struggle to retain vocabulary?</w:t>
            </w:r>
          </w:p>
          <w:p w14:paraId="0C256DE3" w14:textId="77777777" w:rsidR="00C626C5" w:rsidRPr="00C626C5" w:rsidRDefault="00C626C5" w:rsidP="00C626C5">
            <w:pPr>
              <w:pStyle w:val="ListParagraph"/>
              <w:numPr>
                <w:ilvl w:val="0"/>
                <w:numId w:val="6"/>
              </w:numPr>
              <w:rPr>
                <w:rFonts w:ascii="Topmarks" w:hAnsi="Topmarks"/>
                <w:sz w:val="24"/>
                <w:szCs w:val="24"/>
              </w:rPr>
            </w:pPr>
            <w:r w:rsidRPr="00C626C5">
              <w:rPr>
                <w:rFonts w:ascii="Topmarks" w:hAnsi="Topmarks"/>
                <w:sz w:val="18"/>
                <w:szCs w:val="18"/>
              </w:rPr>
              <w:t xml:space="preserve">Begin each lesson with a recap of key vocabulary learned to date. </w:t>
            </w:r>
          </w:p>
          <w:p w14:paraId="54C6EF09" w14:textId="11BC2E68" w:rsidR="00C626C5" w:rsidRPr="00C626C5" w:rsidRDefault="00C626C5" w:rsidP="00C626C5">
            <w:pPr>
              <w:pStyle w:val="ListParagraph"/>
              <w:numPr>
                <w:ilvl w:val="0"/>
                <w:numId w:val="6"/>
              </w:numPr>
              <w:rPr>
                <w:rFonts w:ascii="Topmarks" w:hAnsi="Topmarks"/>
                <w:sz w:val="24"/>
                <w:szCs w:val="24"/>
              </w:rPr>
            </w:pPr>
            <w:r w:rsidRPr="447ADEFB">
              <w:rPr>
                <w:rFonts w:ascii="Topmarks" w:hAnsi="Topmarks"/>
                <w:sz w:val="18"/>
                <w:szCs w:val="18"/>
              </w:rPr>
              <w:t xml:space="preserve">Provide visual word banks that are accessible throughout, as necessary. For support in identifying different instruments, photographs of those learners playing the instruments can help with retention. For support with the meanings of musical dimensions, pictorial word banks can be effective. </w:t>
            </w:r>
          </w:p>
          <w:p w14:paraId="2271DA65" w14:textId="348B0837" w:rsidR="00C626C5" w:rsidRPr="00C626C5" w:rsidRDefault="00C626C5" w:rsidP="00C626C5">
            <w:pPr>
              <w:pStyle w:val="ListParagraph"/>
              <w:numPr>
                <w:ilvl w:val="0"/>
                <w:numId w:val="6"/>
              </w:numPr>
              <w:rPr>
                <w:rFonts w:ascii="Topmarks" w:hAnsi="Topmarks"/>
                <w:sz w:val="24"/>
                <w:szCs w:val="24"/>
              </w:rPr>
            </w:pPr>
            <w:r w:rsidRPr="00C626C5">
              <w:rPr>
                <w:rFonts w:ascii="Topmarks" w:hAnsi="Topmarks"/>
                <w:sz w:val="18"/>
                <w:szCs w:val="18"/>
              </w:rPr>
              <w:t>Drip-feed key vocabulary throughout the school day, rather than limiting references to specific music lessons. Discussions around music listened to during assemblies or in other curriculum areas can help to embed this language.</w:t>
            </w:r>
          </w:p>
        </w:tc>
      </w:tr>
      <w:tr w:rsidR="003C395C" w14:paraId="6E796896" w14:textId="77777777" w:rsidTr="447ADEFB">
        <w:trPr>
          <w:trHeight w:val="4915"/>
        </w:trPr>
        <w:tc>
          <w:tcPr>
            <w:tcW w:w="7276" w:type="dxa"/>
          </w:tcPr>
          <w:p w14:paraId="57AB004C" w14:textId="77777777" w:rsidR="003C395C" w:rsidRDefault="003C395C" w:rsidP="007554CF">
            <w:pPr>
              <w:jc w:val="center"/>
              <w:rPr>
                <w:rFonts w:ascii="Topmarks" w:hAnsi="Topmarks"/>
                <w:b/>
                <w:bCs/>
                <w:sz w:val="24"/>
                <w:szCs w:val="24"/>
                <w:u w:val="single"/>
              </w:rPr>
            </w:pPr>
            <w:r>
              <w:rPr>
                <w:rFonts w:ascii="Topmarks" w:hAnsi="Topmarks"/>
                <w:b/>
                <w:bCs/>
                <w:sz w:val="24"/>
                <w:szCs w:val="24"/>
                <w:u w:val="single"/>
              </w:rPr>
              <w:t>How can I support learners who struggle with attention?</w:t>
            </w:r>
          </w:p>
          <w:p w14:paraId="7D727EFA" w14:textId="77777777" w:rsidR="00CC56F4" w:rsidRPr="00CC56F4" w:rsidRDefault="00CC56F4" w:rsidP="00CC56F4">
            <w:pPr>
              <w:pStyle w:val="ListParagraph"/>
              <w:numPr>
                <w:ilvl w:val="0"/>
                <w:numId w:val="3"/>
              </w:numPr>
              <w:rPr>
                <w:rFonts w:ascii="Topmarks" w:hAnsi="Topmarks"/>
                <w:sz w:val="24"/>
                <w:szCs w:val="24"/>
              </w:rPr>
            </w:pPr>
            <w:r w:rsidRPr="00CC56F4">
              <w:rPr>
                <w:rFonts w:ascii="Topmarks" w:hAnsi="Topmarks"/>
                <w:sz w:val="18"/>
                <w:szCs w:val="18"/>
              </w:rPr>
              <w:t xml:space="preserve">Carefully consider the layout of the learning environment to engage all learners and maximise access to resources, bearing in mind that circles and grouped tables can be a barrier to attention on learning. </w:t>
            </w:r>
          </w:p>
          <w:p w14:paraId="187FCAAB" w14:textId="77777777" w:rsidR="00CC56F4" w:rsidRPr="00CC56F4" w:rsidRDefault="00CC56F4" w:rsidP="00CC56F4">
            <w:pPr>
              <w:pStyle w:val="ListParagraph"/>
              <w:numPr>
                <w:ilvl w:val="0"/>
                <w:numId w:val="3"/>
              </w:numPr>
              <w:rPr>
                <w:rFonts w:ascii="Topmarks" w:hAnsi="Topmarks"/>
                <w:sz w:val="24"/>
                <w:szCs w:val="24"/>
              </w:rPr>
            </w:pPr>
            <w:r w:rsidRPr="00CC56F4">
              <w:rPr>
                <w:rFonts w:ascii="Topmarks" w:hAnsi="Topmarks"/>
                <w:sz w:val="18"/>
                <w:szCs w:val="18"/>
              </w:rPr>
              <w:t xml:space="preserve">Pre-expose learners to the content of the lesson, e.g., show them particular instruments and how they are played, share snippets of music and pre-teach musical elements and terminology. </w:t>
            </w:r>
          </w:p>
          <w:p w14:paraId="3AF83995" w14:textId="77777777" w:rsidR="00CC56F4" w:rsidRPr="00CC56F4" w:rsidRDefault="00CC56F4" w:rsidP="00CC56F4">
            <w:pPr>
              <w:pStyle w:val="ListParagraph"/>
              <w:numPr>
                <w:ilvl w:val="0"/>
                <w:numId w:val="3"/>
              </w:numPr>
              <w:rPr>
                <w:rFonts w:ascii="Topmarks" w:hAnsi="Topmarks"/>
                <w:sz w:val="24"/>
                <w:szCs w:val="24"/>
              </w:rPr>
            </w:pPr>
            <w:r w:rsidRPr="00CC56F4">
              <w:rPr>
                <w:rFonts w:ascii="Topmarks" w:hAnsi="Topmarks"/>
                <w:sz w:val="18"/>
                <w:szCs w:val="18"/>
              </w:rPr>
              <w:t xml:space="preserve">Consider potential unhelpful sources of distraction, such as </w:t>
            </w:r>
            <w:proofErr w:type="spellStart"/>
            <w:r w:rsidRPr="00CC56F4">
              <w:rPr>
                <w:rFonts w:ascii="Topmarks" w:hAnsi="Topmarks"/>
                <w:sz w:val="18"/>
                <w:szCs w:val="18"/>
              </w:rPr>
              <w:t>overfrequent</w:t>
            </w:r>
            <w:proofErr w:type="spellEnd"/>
            <w:r w:rsidRPr="00CC56F4">
              <w:rPr>
                <w:rFonts w:ascii="Topmarks" w:hAnsi="Topmarks"/>
                <w:sz w:val="18"/>
                <w:szCs w:val="18"/>
              </w:rPr>
              <w:t xml:space="preserve"> changes of task or unstructured group work. </w:t>
            </w:r>
          </w:p>
          <w:p w14:paraId="3E592725" w14:textId="77777777" w:rsidR="00CC56F4" w:rsidRPr="00CC56F4" w:rsidRDefault="00CC56F4" w:rsidP="00CC56F4">
            <w:pPr>
              <w:pStyle w:val="ListParagraph"/>
              <w:numPr>
                <w:ilvl w:val="0"/>
                <w:numId w:val="3"/>
              </w:numPr>
              <w:rPr>
                <w:rFonts w:ascii="Topmarks" w:hAnsi="Topmarks"/>
                <w:sz w:val="24"/>
                <w:szCs w:val="24"/>
              </w:rPr>
            </w:pPr>
            <w:r w:rsidRPr="00CC56F4">
              <w:rPr>
                <w:rFonts w:ascii="Topmarks" w:hAnsi="Topmarks"/>
                <w:sz w:val="18"/>
                <w:szCs w:val="18"/>
              </w:rPr>
              <w:t xml:space="preserve">Give learners a particular role in the lesson to keep them engaged and promote active participation. </w:t>
            </w:r>
          </w:p>
          <w:p w14:paraId="65C8800C" w14:textId="54363341" w:rsidR="00CC56F4" w:rsidRPr="00CC56F4" w:rsidRDefault="00CC56F4" w:rsidP="00CC56F4">
            <w:pPr>
              <w:pStyle w:val="ListParagraph"/>
              <w:numPr>
                <w:ilvl w:val="0"/>
                <w:numId w:val="3"/>
              </w:numPr>
              <w:rPr>
                <w:rFonts w:ascii="Topmarks" w:hAnsi="Topmarks"/>
                <w:sz w:val="24"/>
                <w:szCs w:val="24"/>
              </w:rPr>
            </w:pPr>
            <w:r w:rsidRPr="00CC56F4">
              <w:rPr>
                <w:rFonts w:ascii="Topmarks" w:hAnsi="Topmarks"/>
                <w:sz w:val="18"/>
                <w:szCs w:val="18"/>
              </w:rPr>
              <w:t>Arrange movement breaks or short ‘time out’ breaks away from the learning environment when and if necessary.</w:t>
            </w:r>
          </w:p>
        </w:tc>
        <w:tc>
          <w:tcPr>
            <w:tcW w:w="7276" w:type="dxa"/>
          </w:tcPr>
          <w:p w14:paraId="084B94B7" w14:textId="3A53EE99" w:rsidR="003C395C" w:rsidRPr="003C395C" w:rsidRDefault="003C395C" w:rsidP="447ADEFB">
            <w:pPr>
              <w:jc w:val="center"/>
              <w:rPr>
                <w:rFonts w:ascii="Topmarks" w:hAnsi="Topmarks"/>
                <w:b/>
                <w:bCs/>
                <w:sz w:val="24"/>
                <w:szCs w:val="24"/>
                <w:u w:val="single"/>
              </w:rPr>
            </w:pPr>
            <w:r w:rsidRPr="447ADEFB">
              <w:rPr>
                <w:rFonts w:ascii="Topmarks" w:hAnsi="Topmarks"/>
                <w:b/>
                <w:bCs/>
                <w:sz w:val="24"/>
                <w:szCs w:val="24"/>
                <w:u w:val="single"/>
              </w:rPr>
              <w:t>How can I support learners who struggle with change and transition?</w:t>
            </w:r>
          </w:p>
          <w:p w14:paraId="75F7F34A" w14:textId="00C840BB" w:rsidR="003C395C" w:rsidRPr="003C395C" w:rsidRDefault="447ADEFB" w:rsidP="447ADEFB">
            <w:pPr>
              <w:pStyle w:val="ListParagraph"/>
              <w:numPr>
                <w:ilvl w:val="0"/>
                <w:numId w:val="1"/>
              </w:numPr>
              <w:rPr>
                <w:rFonts w:eastAsiaTheme="minorEastAsia"/>
                <w:b/>
                <w:bCs/>
                <w:sz w:val="18"/>
                <w:szCs w:val="18"/>
              </w:rPr>
            </w:pPr>
            <w:r w:rsidRPr="447ADEFB">
              <w:rPr>
                <w:rFonts w:ascii="Topmarks" w:hAnsi="Topmarks"/>
                <w:sz w:val="18"/>
                <w:szCs w:val="18"/>
              </w:rPr>
              <w:t>Consider the structure of each music lesson so that routines are similar each week.</w:t>
            </w:r>
          </w:p>
          <w:p w14:paraId="3034DF99" w14:textId="7F23CE7E" w:rsidR="003C395C" w:rsidRPr="003C395C" w:rsidRDefault="447ADEFB" w:rsidP="447ADEFB">
            <w:pPr>
              <w:pStyle w:val="ListParagraph"/>
              <w:numPr>
                <w:ilvl w:val="0"/>
                <w:numId w:val="1"/>
              </w:numPr>
              <w:rPr>
                <w:b/>
                <w:bCs/>
                <w:sz w:val="18"/>
                <w:szCs w:val="18"/>
              </w:rPr>
            </w:pPr>
            <w:r w:rsidRPr="447ADEFB">
              <w:rPr>
                <w:rFonts w:ascii="Topmarks" w:hAnsi="Topmarks"/>
                <w:sz w:val="18"/>
                <w:szCs w:val="18"/>
              </w:rPr>
              <w:t>Discuss future learning with children so they know what to expect the following week or later in the lesson.</w:t>
            </w:r>
          </w:p>
          <w:p w14:paraId="3A8C14D3" w14:textId="1CE2F335" w:rsidR="003C395C" w:rsidRPr="003C395C" w:rsidRDefault="447ADEFB" w:rsidP="447ADEFB">
            <w:pPr>
              <w:pStyle w:val="ListParagraph"/>
              <w:numPr>
                <w:ilvl w:val="0"/>
                <w:numId w:val="1"/>
              </w:numPr>
              <w:rPr>
                <w:b/>
                <w:bCs/>
                <w:sz w:val="18"/>
                <w:szCs w:val="18"/>
              </w:rPr>
            </w:pPr>
            <w:r w:rsidRPr="447ADEFB">
              <w:rPr>
                <w:rFonts w:ascii="Topmarks" w:hAnsi="Topmarks"/>
                <w:sz w:val="18"/>
                <w:szCs w:val="18"/>
              </w:rPr>
              <w:t>Provide children with timeframes within the lesson so they know when to expect a transition.</w:t>
            </w:r>
          </w:p>
          <w:p w14:paraId="57E54BE3" w14:textId="55090331" w:rsidR="003C395C" w:rsidRPr="003C395C" w:rsidRDefault="003C395C" w:rsidP="447ADEFB">
            <w:pPr>
              <w:jc w:val="center"/>
              <w:rPr>
                <w:rFonts w:ascii="Topmarks" w:hAnsi="Topmarks"/>
                <w:b/>
                <w:bCs/>
                <w:sz w:val="24"/>
                <w:szCs w:val="24"/>
                <w:u w:val="single"/>
              </w:rPr>
            </w:pPr>
          </w:p>
        </w:tc>
        <w:tc>
          <w:tcPr>
            <w:tcW w:w="7276" w:type="dxa"/>
          </w:tcPr>
          <w:p w14:paraId="3CA4F791" w14:textId="5C8365A8" w:rsidR="003C395C" w:rsidRPr="003C395C" w:rsidRDefault="003C395C" w:rsidP="007554CF">
            <w:pPr>
              <w:jc w:val="center"/>
              <w:rPr>
                <w:rFonts w:ascii="Topmarks" w:hAnsi="Topmarks"/>
                <w:b/>
                <w:bCs/>
                <w:sz w:val="24"/>
                <w:szCs w:val="24"/>
                <w:u w:val="single"/>
              </w:rPr>
            </w:pPr>
            <w:r w:rsidRPr="447ADEFB">
              <w:rPr>
                <w:rFonts w:ascii="Topmarks" w:hAnsi="Topmarks"/>
                <w:b/>
                <w:bCs/>
                <w:sz w:val="24"/>
                <w:szCs w:val="24"/>
                <w:u w:val="single"/>
              </w:rPr>
              <w:t>How can I support learners who need additional time to develop conceptual understanding?</w:t>
            </w:r>
          </w:p>
          <w:p w14:paraId="2208C5F4" w14:textId="77777777" w:rsidR="000E294E" w:rsidRPr="000E294E" w:rsidRDefault="000E294E" w:rsidP="000E294E">
            <w:pPr>
              <w:pStyle w:val="ListParagraph"/>
              <w:numPr>
                <w:ilvl w:val="0"/>
                <w:numId w:val="7"/>
              </w:numPr>
              <w:rPr>
                <w:rFonts w:ascii="Topmarks" w:hAnsi="Topmarks"/>
                <w:sz w:val="24"/>
                <w:szCs w:val="24"/>
              </w:rPr>
            </w:pPr>
            <w:r w:rsidRPr="000E294E">
              <w:rPr>
                <w:rFonts w:ascii="Topmarks" w:hAnsi="Topmarks"/>
                <w:sz w:val="18"/>
                <w:szCs w:val="18"/>
              </w:rPr>
              <w:t xml:space="preserve">Break down content into small steps and allow time for guided practice of each step to build up conceptual understanding. </w:t>
            </w:r>
          </w:p>
          <w:p w14:paraId="78854DFA" w14:textId="77777777" w:rsidR="000E294E" w:rsidRPr="000E294E" w:rsidRDefault="000E294E" w:rsidP="000E294E">
            <w:pPr>
              <w:pStyle w:val="ListParagraph"/>
              <w:numPr>
                <w:ilvl w:val="0"/>
                <w:numId w:val="7"/>
              </w:numPr>
              <w:rPr>
                <w:rFonts w:ascii="Topmarks" w:hAnsi="Topmarks"/>
                <w:sz w:val="24"/>
                <w:szCs w:val="24"/>
              </w:rPr>
            </w:pPr>
            <w:r w:rsidRPr="000E294E">
              <w:rPr>
                <w:rFonts w:ascii="Topmarks" w:hAnsi="Topmarks"/>
                <w:sz w:val="18"/>
                <w:szCs w:val="18"/>
              </w:rPr>
              <w:t xml:space="preserve">If resources allow, create a small group opportunity to enable learners to develop understanding with closer adult intervention. </w:t>
            </w:r>
          </w:p>
          <w:p w14:paraId="129D2327" w14:textId="62300B55" w:rsidR="003C395C" w:rsidRPr="000E294E" w:rsidRDefault="000E294E" w:rsidP="000E294E">
            <w:pPr>
              <w:pStyle w:val="ListParagraph"/>
              <w:numPr>
                <w:ilvl w:val="0"/>
                <w:numId w:val="7"/>
              </w:numPr>
              <w:rPr>
                <w:rFonts w:ascii="Topmarks" w:hAnsi="Topmarks"/>
                <w:sz w:val="24"/>
                <w:szCs w:val="24"/>
              </w:rPr>
            </w:pPr>
            <w:r w:rsidRPr="447ADEFB">
              <w:rPr>
                <w:rFonts w:ascii="Topmarks" w:hAnsi="Topmarks"/>
                <w:sz w:val="18"/>
                <w:szCs w:val="18"/>
              </w:rPr>
              <w:t>Maximise opportunities to model, demonstrate and imitate to encourage active participation through a scaffolded experience.</w:t>
            </w:r>
          </w:p>
        </w:tc>
      </w:tr>
    </w:tbl>
    <w:p w14:paraId="1960AA8D" w14:textId="54FDB95A" w:rsidR="003C395C" w:rsidRDefault="007554CF" w:rsidP="007554CF">
      <w:pPr>
        <w:rPr>
          <w:rFonts w:ascii="Topmarks" w:hAnsi="Topmarks"/>
          <w:b/>
          <w:bCs/>
          <w:sz w:val="24"/>
          <w:szCs w:val="24"/>
          <w:u w:val="single"/>
        </w:rPr>
      </w:pPr>
      <w:r w:rsidRPr="007554CF">
        <w:rPr>
          <w:rFonts w:ascii="Topmarks" w:hAnsi="Topmarks"/>
          <w:b/>
          <w:bCs/>
          <w:sz w:val="24"/>
          <w:szCs w:val="24"/>
          <w:u w:val="single"/>
        </w:rPr>
        <w:t>Creating an inclusive environment</w:t>
      </w:r>
    </w:p>
    <w:p w14:paraId="102BD7CB" w14:textId="3ED071E5" w:rsidR="007554CF" w:rsidRPr="00E30559" w:rsidRDefault="00E97F8B" w:rsidP="00E97F8B">
      <w:pPr>
        <w:pStyle w:val="ListParagraph"/>
        <w:numPr>
          <w:ilvl w:val="0"/>
          <w:numId w:val="2"/>
        </w:numPr>
        <w:rPr>
          <w:rFonts w:ascii="Topmarks" w:hAnsi="Topmarks"/>
          <w:sz w:val="18"/>
          <w:szCs w:val="18"/>
        </w:rPr>
      </w:pPr>
      <w:r w:rsidRPr="00E30559">
        <w:rPr>
          <w:rFonts w:ascii="Topmarks" w:hAnsi="Topmarks"/>
          <w:sz w:val="18"/>
          <w:szCs w:val="18"/>
        </w:rPr>
        <w:t>Consider the physical layout of the workspace. Will all learners, especially those with physical disabilities, be able to access resources and have the space to play an active part in the lesson? If there is the opportunity to alter visual and/or auditory stimuli to respond to individual needs, then this should be considered.</w:t>
      </w:r>
    </w:p>
    <w:p w14:paraId="65C1FAB5" w14:textId="77777777" w:rsidR="002D309E" w:rsidRPr="00E30559" w:rsidRDefault="002D309E" w:rsidP="007554CF">
      <w:pPr>
        <w:pStyle w:val="ListParagraph"/>
        <w:numPr>
          <w:ilvl w:val="0"/>
          <w:numId w:val="2"/>
        </w:numPr>
        <w:rPr>
          <w:rFonts w:ascii="Topmarks" w:hAnsi="Topmarks"/>
          <w:sz w:val="18"/>
          <w:szCs w:val="18"/>
        </w:rPr>
      </w:pPr>
      <w:r w:rsidRPr="00E30559">
        <w:rPr>
          <w:rFonts w:ascii="Topmarks" w:hAnsi="Topmarks"/>
          <w:sz w:val="18"/>
          <w:szCs w:val="18"/>
        </w:rPr>
        <w:t>At times, music can create challenges for learners with sensory issues. This needs to be considered when creating an effective learning environment. Consider the practical layout of the room and the position of the learners</w:t>
      </w:r>
    </w:p>
    <w:p w14:paraId="6B885615" w14:textId="4B6F7D78" w:rsidR="007554CF" w:rsidRPr="00E30559" w:rsidRDefault="007554CF" w:rsidP="007554CF">
      <w:pPr>
        <w:pStyle w:val="ListParagraph"/>
        <w:numPr>
          <w:ilvl w:val="0"/>
          <w:numId w:val="2"/>
        </w:numPr>
        <w:rPr>
          <w:rFonts w:ascii="Topmarks" w:hAnsi="Topmarks"/>
          <w:sz w:val="18"/>
          <w:szCs w:val="18"/>
        </w:rPr>
      </w:pPr>
      <w:r w:rsidRPr="00E30559">
        <w:rPr>
          <w:rFonts w:ascii="Topmarks" w:hAnsi="Topmarks"/>
          <w:sz w:val="18"/>
          <w:szCs w:val="18"/>
        </w:rPr>
        <w:t>Culture where mistakes are embraced and viewed as part of the learning process</w:t>
      </w:r>
    </w:p>
    <w:p w14:paraId="26844BAB" w14:textId="671320A3" w:rsidR="00E30559" w:rsidRPr="00E30559" w:rsidRDefault="00E30559" w:rsidP="007554CF">
      <w:pPr>
        <w:pStyle w:val="ListParagraph"/>
        <w:numPr>
          <w:ilvl w:val="0"/>
          <w:numId w:val="2"/>
        </w:numPr>
        <w:rPr>
          <w:rFonts w:ascii="Topmarks" w:hAnsi="Topmarks"/>
          <w:sz w:val="18"/>
          <w:szCs w:val="18"/>
        </w:rPr>
      </w:pPr>
      <w:r w:rsidRPr="00E30559">
        <w:rPr>
          <w:rFonts w:ascii="Topmarks" w:hAnsi="Topmarks"/>
          <w:sz w:val="18"/>
          <w:szCs w:val="18"/>
        </w:rPr>
        <w:t xml:space="preserve">Although music-making opportunities, such as playing instruments together or singing, lend themselves to groups, some learners may benefit from working </w:t>
      </w:r>
      <w:r w:rsidRPr="00E30559">
        <w:rPr>
          <w:rFonts w:ascii="Topmarks" w:hAnsi="Topmarks"/>
          <w:sz w:val="16"/>
          <w:szCs w:val="16"/>
        </w:rPr>
        <w:t>individu</w:t>
      </w:r>
      <w:r w:rsidRPr="00E30559">
        <w:rPr>
          <w:rFonts w:ascii="Topmarks" w:hAnsi="Topmarks"/>
          <w:sz w:val="18"/>
          <w:szCs w:val="18"/>
        </w:rPr>
        <w:t>ally, with or without the support of an</w:t>
      </w:r>
      <w:r w:rsidRPr="00E30559">
        <w:rPr>
          <w:rFonts w:ascii="Topmarks" w:hAnsi="Topmarks"/>
        </w:rPr>
        <w:t xml:space="preserve"> </w:t>
      </w:r>
      <w:r w:rsidRPr="00E30559">
        <w:rPr>
          <w:rFonts w:ascii="Topmarks" w:hAnsi="Topmarks"/>
          <w:sz w:val="18"/>
          <w:szCs w:val="18"/>
        </w:rPr>
        <w:t>adult and/or ICT.</w:t>
      </w:r>
    </w:p>
    <w:sectPr w:rsidR="00E30559" w:rsidRPr="00E30559" w:rsidSect="003C395C">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opmarks">
    <w:altName w:val="Calibri"/>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B238D"/>
    <w:multiLevelType w:val="hybridMultilevel"/>
    <w:tmpl w:val="2B42E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56095D"/>
    <w:multiLevelType w:val="hybridMultilevel"/>
    <w:tmpl w:val="B030C6A8"/>
    <w:lvl w:ilvl="0" w:tplc="C2FA97BA">
      <w:start w:val="1"/>
      <w:numFmt w:val="bullet"/>
      <w:lvlText w:val=""/>
      <w:lvlJc w:val="left"/>
      <w:pPr>
        <w:ind w:left="720" w:hanging="360"/>
      </w:pPr>
      <w:rPr>
        <w:rFonts w:ascii="Symbol" w:hAnsi="Symbol" w:hint="default"/>
      </w:rPr>
    </w:lvl>
    <w:lvl w:ilvl="1" w:tplc="29F04652">
      <w:start w:val="1"/>
      <w:numFmt w:val="bullet"/>
      <w:lvlText w:val="o"/>
      <w:lvlJc w:val="left"/>
      <w:pPr>
        <w:ind w:left="1440" w:hanging="360"/>
      </w:pPr>
      <w:rPr>
        <w:rFonts w:ascii="Courier New" w:hAnsi="Courier New" w:hint="default"/>
      </w:rPr>
    </w:lvl>
    <w:lvl w:ilvl="2" w:tplc="15EA01B6">
      <w:start w:val="1"/>
      <w:numFmt w:val="bullet"/>
      <w:lvlText w:val=""/>
      <w:lvlJc w:val="left"/>
      <w:pPr>
        <w:ind w:left="2160" w:hanging="360"/>
      </w:pPr>
      <w:rPr>
        <w:rFonts w:ascii="Wingdings" w:hAnsi="Wingdings" w:hint="default"/>
      </w:rPr>
    </w:lvl>
    <w:lvl w:ilvl="3" w:tplc="E3CA7BAC">
      <w:start w:val="1"/>
      <w:numFmt w:val="bullet"/>
      <w:lvlText w:val=""/>
      <w:lvlJc w:val="left"/>
      <w:pPr>
        <w:ind w:left="2880" w:hanging="360"/>
      </w:pPr>
      <w:rPr>
        <w:rFonts w:ascii="Symbol" w:hAnsi="Symbol" w:hint="default"/>
      </w:rPr>
    </w:lvl>
    <w:lvl w:ilvl="4" w:tplc="157489B4">
      <w:start w:val="1"/>
      <w:numFmt w:val="bullet"/>
      <w:lvlText w:val="o"/>
      <w:lvlJc w:val="left"/>
      <w:pPr>
        <w:ind w:left="3600" w:hanging="360"/>
      </w:pPr>
      <w:rPr>
        <w:rFonts w:ascii="Courier New" w:hAnsi="Courier New" w:hint="default"/>
      </w:rPr>
    </w:lvl>
    <w:lvl w:ilvl="5" w:tplc="5B5060C6">
      <w:start w:val="1"/>
      <w:numFmt w:val="bullet"/>
      <w:lvlText w:val=""/>
      <w:lvlJc w:val="left"/>
      <w:pPr>
        <w:ind w:left="4320" w:hanging="360"/>
      </w:pPr>
      <w:rPr>
        <w:rFonts w:ascii="Wingdings" w:hAnsi="Wingdings" w:hint="default"/>
      </w:rPr>
    </w:lvl>
    <w:lvl w:ilvl="6" w:tplc="2996CBF4">
      <w:start w:val="1"/>
      <w:numFmt w:val="bullet"/>
      <w:lvlText w:val=""/>
      <w:lvlJc w:val="left"/>
      <w:pPr>
        <w:ind w:left="5040" w:hanging="360"/>
      </w:pPr>
      <w:rPr>
        <w:rFonts w:ascii="Symbol" w:hAnsi="Symbol" w:hint="default"/>
      </w:rPr>
    </w:lvl>
    <w:lvl w:ilvl="7" w:tplc="EB280540">
      <w:start w:val="1"/>
      <w:numFmt w:val="bullet"/>
      <w:lvlText w:val="o"/>
      <w:lvlJc w:val="left"/>
      <w:pPr>
        <w:ind w:left="5760" w:hanging="360"/>
      </w:pPr>
      <w:rPr>
        <w:rFonts w:ascii="Courier New" w:hAnsi="Courier New" w:hint="default"/>
      </w:rPr>
    </w:lvl>
    <w:lvl w:ilvl="8" w:tplc="D11CD762">
      <w:start w:val="1"/>
      <w:numFmt w:val="bullet"/>
      <w:lvlText w:val=""/>
      <w:lvlJc w:val="left"/>
      <w:pPr>
        <w:ind w:left="6480" w:hanging="360"/>
      </w:pPr>
      <w:rPr>
        <w:rFonts w:ascii="Wingdings" w:hAnsi="Wingdings" w:hint="default"/>
      </w:rPr>
    </w:lvl>
  </w:abstractNum>
  <w:abstractNum w:abstractNumId="2" w15:restartNumberingAfterBreak="0">
    <w:nsid w:val="454E160E"/>
    <w:multiLevelType w:val="hybridMultilevel"/>
    <w:tmpl w:val="9B023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4C179E"/>
    <w:multiLevelType w:val="hybridMultilevel"/>
    <w:tmpl w:val="5B9CF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C74931"/>
    <w:multiLevelType w:val="hybridMultilevel"/>
    <w:tmpl w:val="44280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6D4B76"/>
    <w:multiLevelType w:val="hybridMultilevel"/>
    <w:tmpl w:val="885E0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567656"/>
    <w:multiLevelType w:val="hybridMultilevel"/>
    <w:tmpl w:val="42483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2"/>
  </w:num>
  <w:num w:numId="4">
    <w:abstractNumId w:val="5"/>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95C"/>
    <w:rsid w:val="00065729"/>
    <w:rsid w:val="000E294E"/>
    <w:rsid w:val="0018344C"/>
    <w:rsid w:val="002546FC"/>
    <w:rsid w:val="002D309E"/>
    <w:rsid w:val="003C395C"/>
    <w:rsid w:val="00416EF2"/>
    <w:rsid w:val="00490CE7"/>
    <w:rsid w:val="004C3058"/>
    <w:rsid w:val="007554CF"/>
    <w:rsid w:val="007A1EC5"/>
    <w:rsid w:val="009A2747"/>
    <w:rsid w:val="009B1DD7"/>
    <w:rsid w:val="00A2306A"/>
    <w:rsid w:val="00B56222"/>
    <w:rsid w:val="00C1210D"/>
    <w:rsid w:val="00C626C5"/>
    <w:rsid w:val="00C661E7"/>
    <w:rsid w:val="00CC4C1B"/>
    <w:rsid w:val="00CC56F4"/>
    <w:rsid w:val="00DB20DA"/>
    <w:rsid w:val="00E229A7"/>
    <w:rsid w:val="00E30559"/>
    <w:rsid w:val="00E70BD7"/>
    <w:rsid w:val="00E97F8B"/>
    <w:rsid w:val="00ED3A99"/>
    <w:rsid w:val="0497D019"/>
    <w:rsid w:val="1E5CC3AF"/>
    <w:rsid w:val="1EBFA858"/>
    <w:rsid w:val="3420F332"/>
    <w:rsid w:val="38F46455"/>
    <w:rsid w:val="447ADEFB"/>
    <w:rsid w:val="4EB893D8"/>
    <w:rsid w:val="53DD7BFC"/>
    <w:rsid w:val="73A711B8"/>
    <w:rsid w:val="7542E2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980F2"/>
  <w15:chartTrackingRefBased/>
  <w15:docId w15:val="{0960579C-512C-49A9-9B68-B8863C635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3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54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1C3165C4202642A8B9CB6A9D60FD96" ma:contentTypeVersion="16" ma:contentTypeDescription="Create a new document." ma:contentTypeScope="" ma:versionID="5755fe7e0815efd2c4f3b3e1f327de09">
  <xsd:schema xmlns:xsd="http://www.w3.org/2001/XMLSchema" xmlns:xs="http://www.w3.org/2001/XMLSchema" xmlns:p="http://schemas.microsoft.com/office/2006/metadata/properties" xmlns:ns2="4d645f34-9187-4240-a1b2-ba8ab3d182d4" xmlns:ns3="adffa80a-b630-420b-ba66-27fcf89fd213" targetNamespace="http://schemas.microsoft.com/office/2006/metadata/properties" ma:root="true" ma:fieldsID="a6d7c5c3e0121d5f30075c8b299bf1f7" ns2:_="" ns3:_="">
    <xsd:import namespace="4d645f34-9187-4240-a1b2-ba8ab3d182d4"/>
    <xsd:import namespace="adffa80a-b630-420b-ba66-27fcf89fd2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45f34-9187-4240-a1b2-ba8ab3d182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120689-8e3a-4526-a671-b1a5bcde415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dffa80a-b630-420b-ba66-27fcf89fd21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476ee8-deb3-4115-b8f0-7d7c1c3ee043}" ma:internalName="TaxCatchAll" ma:showField="CatchAllData" ma:web="adffa80a-b630-420b-ba66-27fcf89fd2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d645f34-9187-4240-a1b2-ba8ab3d182d4">
      <Terms xmlns="http://schemas.microsoft.com/office/infopath/2007/PartnerControls"/>
    </lcf76f155ced4ddcb4097134ff3c332f>
    <TaxCatchAll xmlns="adffa80a-b630-420b-ba66-27fcf89fd213" xsi:nil="true"/>
  </documentManagement>
</p:properties>
</file>

<file path=customXml/itemProps1.xml><?xml version="1.0" encoding="utf-8"?>
<ds:datastoreItem xmlns:ds="http://schemas.openxmlformats.org/officeDocument/2006/customXml" ds:itemID="{5F343A50-B121-42B0-9B1B-C0A9623A72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645f34-9187-4240-a1b2-ba8ab3d182d4"/>
    <ds:schemaRef ds:uri="adffa80a-b630-420b-ba66-27fcf89fd2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AF4486-F857-4EEE-87E5-74485BAD7F00}">
  <ds:schemaRefs>
    <ds:schemaRef ds:uri="http://schemas.microsoft.com/sharepoint/v3/contenttype/forms"/>
  </ds:schemaRefs>
</ds:datastoreItem>
</file>

<file path=customXml/itemProps3.xml><?xml version="1.0" encoding="utf-8"?>
<ds:datastoreItem xmlns:ds="http://schemas.openxmlformats.org/officeDocument/2006/customXml" ds:itemID="{A7A18EB5-2A33-4C46-A747-481985D03E34}">
  <ds:schemaRefs>
    <ds:schemaRef ds:uri="http://schemas.openxmlformats.org/package/2006/metadata/core-properties"/>
    <ds:schemaRef ds:uri="4d645f34-9187-4240-a1b2-ba8ab3d182d4"/>
    <ds:schemaRef ds:uri="http://schemas.microsoft.com/office/2006/documentManagement/types"/>
    <ds:schemaRef ds:uri="http://schemas.microsoft.com/office/infopath/2007/PartnerControls"/>
    <ds:schemaRef ds:uri="adffa80a-b630-420b-ba66-27fcf89fd213"/>
    <ds:schemaRef ds:uri="http://purl.org/dc/elements/1.1/"/>
    <ds:schemaRef ds:uri="http://schemas.microsoft.com/office/2006/metadata/properties"/>
    <ds:schemaRef ds:uri="http://www.w3.org/XML/1998/namespace"/>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660</Words>
  <Characters>3762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Critchley</dc:creator>
  <cp:keywords/>
  <dc:description/>
  <cp:lastModifiedBy>Natalie Vaughan</cp:lastModifiedBy>
  <cp:revision>3</cp:revision>
  <dcterms:created xsi:type="dcterms:W3CDTF">2023-01-11T12:50:00Z</dcterms:created>
  <dcterms:modified xsi:type="dcterms:W3CDTF">2023-01-13T10:37:00Z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0x010100AD1C3165C4202642A8B9CB6A9D60FD96</vt:lpwstr>
  </property>
</Properties>
</file>