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EC934" w14:textId="5466D250" w:rsidR="00416EF2" w:rsidRDefault="00822AB5" w:rsidP="003C395C">
      <w:pPr>
        <w:jc w:val="center"/>
        <w:rPr>
          <w:rFonts w:ascii="Topmarks" w:hAnsi="Topmarks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79F1C42" wp14:editId="2DBE51A0">
            <wp:simplePos x="0" y="0"/>
            <wp:positionH relativeFrom="column">
              <wp:posOffset>-200025</wp:posOffset>
            </wp:positionH>
            <wp:positionV relativeFrom="paragraph">
              <wp:posOffset>0</wp:posOffset>
            </wp:positionV>
            <wp:extent cx="1952625" cy="48069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48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95C" w:rsidRPr="003C395C">
        <w:rPr>
          <w:rFonts w:ascii="Topmarks" w:hAnsi="Topmarks"/>
          <w:b/>
          <w:bCs/>
          <w:sz w:val="32"/>
          <w:szCs w:val="32"/>
        </w:rPr>
        <w:t>Strategies to Scaffold Learning</w:t>
      </w:r>
    </w:p>
    <w:p w14:paraId="7B757603" w14:textId="439DF190" w:rsidR="003C395C" w:rsidRDefault="003C395C" w:rsidP="003C395C">
      <w:pPr>
        <w:jc w:val="center"/>
        <w:rPr>
          <w:rFonts w:ascii="Topmarks" w:hAnsi="Topmarks"/>
          <w:b/>
          <w:bCs/>
          <w:sz w:val="32"/>
          <w:szCs w:val="32"/>
        </w:rPr>
      </w:pPr>
      <w:r>
        <w:rPr>
          <w:rFonts w:ascii="Topmarks" w:hAnsi="Topmarks"/>
          <w:b/>
          <w:bCs/>
          <w:sz w:val="32"/>
          <w:szCs w:val="32"/>
        </w:rPr>
        <w:t xml:space="preserve">Subject: </w:t>
      </w:r>
      <w:r w:rsidR="004351BC">
        <w:rPr>
          <w:rFonts w:ascii="Topmarks" w:hAnsi="Topmarks"/>
          <w:b/>
          <w:bCs/>
          <w:sz w:val="32"/>
          <w:szCs w:val="32"/>
        </w:rPr>
        <w:t>Science</w:t>
      </w:r>
    </w:p>
    <w:tbl>
      <w:tblPr>
        <w:tblStyle w:val="TableGrid"/>
        <w:tblpPr w:leftFromText="180" w:rightFromText="180" w:horzAnchor="margin" w:tblpY="3810"/>
        <w:tblW w:w="0" w:type="auto"/>
        <w:tblLook w:val="04A0" w:firstRow="1" w:lastRow="0" w:firstColumn="1" w:lastColumn="0" w:noHBand="0" w:noVBand="1"/>
      </w:tblPr>
      <w:tblGrid>
        <w:gridCol w:w="7276"/>
        <w:gridCol w:w="7276"/>
        <w:gridCol w:w="7276"/>
      </w:tblGrid>
      <w:tr w:rsidR="003C395C" w14:paraId="57EACD08" w14:textId="77777777" w:rsidTr="007554CF">
        <w:trPr>
          <w:trHeight w:val="4915"/>
        </w:trPr>
        <w:tc>
          <w:tcPr>
            <w:tcW w:w="7276" w:type="dxa"/>
          </w:tcPr>
          <w:p w14:paraId="6D74C4E4" w14:textId="3E454111" w:rsidR="003C395C" w:rsidRPr="005074A3" w:rsidRDefault="003C395C" w:rsidP="009C6796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</w:pPr>
            <w:r w:rsidRPr="005074A3"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  <w:t>How can I support learners who struggle to access lessons because of literacy difficulties?</w:t>
            </w:r>
          </w:p>
          <w:p w14:paraId="255DF857" w14:textId="77777777" w:rsidR="00B018FE" w:rsidRDefault="00B018FE" w:rsidP="005074A3">
            <w:pPr>
              <w:pStyle w:val="ListParagraph"/>
              <w:numPr>
                <w:ilvl w:val="0"/>
                <w:numId w:val="6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Provide topical word banks and picture cards that the learner can point or refer to when explaining scientific processes. </w:t>
            </w:r>
          </w:p>
          <w:p w14:paraId="7FC4B6BC" w14:textId="77777777" w:rsidR="00B018FE" w:rsidRDefault="00B018FE" w:rsidP="005074A3">
            <w:pPr>
              <w:pStyle w:val="ListParagraph"/>
              <w:numPr>
                <w:ilvl w:val="0"/>
                <w:numId w:val="6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Ask teaching assistants to collate word/picture banks on a mini whiteboard/paper with the learner during the teaching input to support their independent learning activity. </w:t>
            </w:r>
          </w:p>
          <w:p w14:paraId="447D480E" w14:textId="336D818C" w:rsidR="005074A3" w:rsidRPr="005074A3" w:rsidRDefault="00B018FE" w:rsidP="005074A3">
            <w:pPr>
              <w:pStyle w:val="ListParagraph"/>
              <w:numPr>
                <w:ilvl w:val="0"/>
                <w:numId w:val="6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>Scaffold learning to make it accessible for all</w:t>
            </w:r>
            <w:r w:rsidR="00E2357C">
              <w:rPr>
                <w:rFonts w:ascii="Topmarks" w:hAnsi="Topmarks"/>
                <w:sz w:val="18"/>
                <w:szCs w:val="18"/>
              </w:rPr>
              <w:t xml:space="preserve">, </w:t>
            </w:r>
            <w:proofErr w:type="gramStart"/>
            <w:r w:rsidR="00E2357C">
              <w:rPr>
                <w:rFonts w:ascii="Topmarks" w:hAnsi="Topmarks"/>
                <w:sz w:val="18"/>
                <w:szCs w:val="18"/>
              </w:rPr>
              <w:t>e.g.</w:t>
            </w:r>
            <w:proofErr w:type="gramEnd"/>
            <w:r w:rsidR="00E2357C">
              <w:rPr>
                <w:rFonts w:ascii="Topmarks" w:hAnsi="Topmarks"/>
                <w:sz w:val="18"/>
                <w:szCs w:val="18"/>
              </w:rPr>
              <w:t xml:space="preserve"> if writing up the method for their experiment, a learner with writing difficulties could verbally explain for you or a teaching assistant to scribe, note-take or film explaining their answers. </w:t>
            </w:r>
            <w:r w:rsidR="005074A3" w:rsidRPr="005074A3">
              <w:rPr>
                <w:rFonts w:ascii="Topmarks" w:hAnsi="Topmarks"/>
                <w:sz w:val="18"/>
                <w:szCs w:val="18"/>
              </w:rPr>
              <w:t xml:space="preserve"> </w:t>
            </w:r>
          </w:p>
        </w:tc>
        <w:tc>
          <w:tcPr>
            <w:tcW w:w="7276" w:type="dxa"/>
          </w:tcPr>
          <w:p w14:paraId="38E6187A" w14:textId="7F68DE7A" w:rsidR="003C395C" w:rsidRPr="005074A3" w:rsidRDefault="003C395C" w:rsidP="009C6796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</w:pPr>
            <w:r w:rsidRPr="005074A3"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  <w:t xml:space="preserve">How can I support learners who struggle to access lessons because of numeracy </w:t>
            </w:r>
            <w:r w:rsidR="00782A9E"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  <w:t>difficulties</w:t>
            </w:r>
            <w:r w:rsidRPr="005074A3"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  <w:t>?</w:t>
            </w:r>
          </w:p>
          <w:p w14:paraId="30B29B86" w14:textId="77777777" w:rsidR="008672E7" w:rsidRDefault="00782A9E" w:rsidP="00782A9E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180"/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Scaffold learning to make it accessible for all </w:t>
            </w:r>
            <w:proofErr w:type="gramStart"/>
            <w:r>
              <w:rPr>
                <w:rFonts w:ascii="Topmarks" w:hAnsi="Topmarks"/>
                <w:sz w:val="18"/>
                <w:szCs w:val="18"/>
              </w:rPr>
              <w:t>e.g.</w:t>
            </w:r>
            <w:proofErr w:type="gramEnd"/>
            <w:r>
              <w:rPr>
                <w:rFonts w:ascii="Topmarks" w:hAnsi="Topmarks"/>
                <w:sz w:val="18"/>
                <w:szCs w:val="18"/>
              </w:rPr>
              <w:t xml:space="preserve"> when creating data tables for an experiment, learners with numeracy difficulties could </w:t>
            </w:r>
            <w:r w:rsidR="003B7AED">
              <w:rPr>
                <w:rFonts w:ascii="Topmarks" w:hAnsi="Topmarks"/>
                <w:sz w:val="18"/>
                <w:szCs w:val="18"/>
              </w:rPr>
              <w:t xml:space="preserve">create a pictogram instead. </w:t>
            </w:r>
          </w:p>
          <w:p w14:paraId="32776F1A" w14:textId="77777777" w:rsidR="003B7AED" w:rsidRDefault="003B7AED" w:rsidP="00782A9E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180"/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Employ manipulatives and resources used in maths lessons to support learning in science. </w:t>
            </w:r>
          </w:p>
          <w:p w14:paraId="15421023" w14:textId="56D688AF" w:rsidR="003B7AED" w:rsidRPr="005074A3" w:rsidRDefault="003B7AED" w:rsidP="00782A9E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180"/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Bring abstract concepts to life through concrete resources and comparisons. </w:t>
            </w:r>
          </w:p>
        </w:tc>
        <w:tc>
          <w:tcPr>
            <w:tcW w:w="7276" w:type="dxa"/>
          </w:tcPr>
          <w:p w14:paraId="121D35B4" w14:textId="77777777" w:rsidR="003C395C" w:rsidRPr="005074A3" w:rsidRDefault="003C395C" w:rsidP="009C6796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</w:pPr>
            <w:r w:rsidRPr="005074A3"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  <w:t>How can I support learners who struggle to retain vocabulary?</w:t>
            </w:r>
          </w:p>
          <w:p w14:paraId="6B063E15" w14:textId="77777777" w:rsidR="006A1089" w:rsidRDefault="002E39D8" w:rsidP="002E39D8">
            <w:pPr>
              <w:pStyle w:val="ListParagraph"/>
              <w:numPr>
                <w:ilvl w:val="0"/>
                <w:numId w:val="5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Begin each lesson with a review of the vocabulary learnt in the previous lesson. </w:t>
            </w:r>
          </w:p>
          <w:p w14:paraId="0E59AC59" w14:textId="77777777" w:rsidR="002E39D8" w:rsidRDefault="002E39D8" w:rsidP="002E39D8">
            <w:pPr>
              <w:pStyle w:val="ListParagraph"/>
              <w:numPr>
                <w:ilvl w:val="0"/>
                <w:numId w:val="5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>Provide word banks that are accessible throughout the science topic. Encourage learners to tick the words they feel confident with</w:t>
            </w:r>
            <w:r w:rsidR="00101446">
              <w:rPr>
                <w:rFonts w:ascii="Topmarks" w:hAnsi="Topmarks"/>
                <w:sz w:val="18"/>
                <w:szCs w:val="18"/>
              </w:rPr>
              <w:t xml:space="preserve"> to help target language that still needs support, e.g., when learners can independently use a word in a sentence. This could also encourage</w:t>
            </w:r>
            <w:r w:rsidR="00175309">
              <w:rPr>
                <w:rFonts w:ascii="Topmarks" w:hAnsi="Topmarks"/>
                <w:sz w:val="18"/>
                <w:szCs w:val="18"/>
              </w:rPr>
              <w:t xml:space="preserve"> and motivate the learner to use language they have yet to use. </w:t>
            </w:r>
          </w:p>
          <w:p w14:paraId="2271DA65" w14:textId="418BFB5C" w:rsidR="00175309" w:rsidRPr="005074A3" w:rsidRDefault="00175309" w:rsidP="002E39D8">
            <w:pPr>
              <w:pStyle w:val="ListParagraph"/>
              <w:numPr>
                <w:ilvl w:val="0"/>
                <w:numId w:val="5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>Refer to language regularly during lessons and, where applicable, throughout the school day, as this will embed the vocabulary</w:t>
            </w:r>
            <w:r w:rsidR="00787DC4">
              <w:rPr>
                <w:rFonts w:ascii="Topmarks" w:hAnsi="Topmarks"/>
                <w:sz w:val="18"/>
                <w:szCs w:val="18"/>
              </w:rPr>
              <w:t xml:space="preserve"> and build stronger links and </w:t>
            </w:r>
            <w:r w:rsidR="00790ABA">
              <w:rPr>
                <w:rFonts w:ascii="Topmarks" w:hAnsi="Topmarks"/>
                <w:sz w:val="18"/>
                <w:szCs w:val="18"/>
              </w:rPr>
              <w:t xml:space="preserve">associations. </w:t>
            </w:r>
          </w:p>
        </w:tc>
      </w:tr>
      <w:tr w:rsidR="003C395C" w14:paraId="6E796896" w14:textId="77777777" w:rsidTr="007554CF">
        <w:trPr>
          <w:trHeight w:val="4915"/>
        </w:trPr>
        <w:tc>
          <w:tcPr>
            <w:tcW w:w="7276" w:type="dxa"/>
          </w:tcPr>
          <w:p w14:paraId="76091B84" w14:textId="77777777" w:rsidR="003C395C" w:rsidRPr="005074A3" w:rsidRDefault="003C395C" w:rsidP="009C6796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</w:pPr>
            <w:r w:rsidRPr="005074A3"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  <w:t>How can I support learners who struggle with attention?</w:t>
            </w:r>
          </w:p>
          <w:p w14:paraId="5A21B949" w14:textId="3F9C4F03" w:rsidR="006676E8" w:rsidRDefault="00961287" w:rsidP="006676E8">
            <w:pPr>
              <w:pStyle w:val="ListParagraph"/>
              <w:numPr>
                <w:ilvl w:val="0"/>
                <w:numId w:val="3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Create a working classroom environment that is calming and simple, </w:t>
            </w:r>
            <w:proofErr w:type="gramStart"/>
            <w:r>
              <w:rPr>
                <w:rFonts w:ascii="Topmarks" w:hAnsi="Topmarks"/>
                <w:sz w:val="18"/>
                <w:szCs w:val="18"/>
              </w:rPr>
              <w:t>e.g.</w:t>
            </w:r>
            <w:proofErr w:type="gramEnd"/>
            <w:r>
              <w:rPr>
                <w:rFonts w:ascii="Topmarks" w:hAnsi="Topmarks"/>
                <w:sz w:val="18"/>
                <w:szCs w:val="18"/>
              </w:rPr>
              <w:t xml:space="preserve"> clear routines, organised workspaces</w:t>
            </w:r>
            <w:r w:rsidR="00F00928">
              <w:rPr>
                <w:rFonts w:ascii="Topmarks" w:hAnsi="Topmarks"/>
                <w:sz w:val="18"/>
                <w:szCs w:val="18"/>
              </w:rPr>
              <w:t xml:space="preserve">. </w:t>
            </w:r>
          </w:p>
          <w:p w14:paraId="33066BDD" w14:textId="3294DE5F" w:rsidR="00F00928" w:rsidRDefault="00F00928" w:rsidP="006676E8">
            <w:pPr>
              <w:pStyle w:val="ListParagraph"/>
              <w:numPr>
                <w:ilvl w:val="0"/>
                <w:numId w:val="3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>Use preferential seating and proximity to engage all learners- have learned who struggle to concentrate at the front of the class, or plan for teaching assistants</w:t>
            </w:r>
            <w:r w:rsidR="00DD6D84">
              <w:rPr>
                <w:rFonts w:ascii="Topmarks" w:hAnsi="Topmarks"/>
                <w:sz w:val="18"/>
                <w:szCs w:val="18"/>
              </w:rPr>
              <w:t xml:space="preserve"> to en</w:t>
            </w:r>
            <w:r w:rsidR="00134A27">
              <w:rPr>
                <w:rFonts w:ascii="Topmarks" w:hAnsi="Topmarks"/>
                <w:sz w:val="18"/>
                <w:szCs w:val="18"/>
              </w:rPr>
              <w:t xml:space="preserve">courage the learner to participate and maintain focus. </w:t>
            </w:r>
          </w:p>
          <w:p w14:paraId="3934636C" w14:textId="3B81C581" w:rsidR="00134A27" w:rsidRDefault="00134A27" w:rsidP="006676E8">
            <w:pPr>
              <w:pStyle w:val="ListParagraph"/>
              <w:numPr>
                <w:ilvl w:val="0"/>
                <w:numId w:val="3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Pre-expose learners to the equipment and nature of the lesson (especially </w:t>
            </w:r>
            <w:r w:rsidR="001A678C">
              <w:rPr>
                <w:rFonts w:ascii="Topmarks" w:hAnsi="Topmarks"/>
                <w:sz w:val="18"/>
                <w:szCs w:val="18"/>
              </w:rPr>
              <w:t xml:space="preserve">for experiments and practical lessons) to spark engagement and interest in the upcoming lesson. </w:t>
            </w:r>
          </w:p>
          <w:p w14:paraId="3F37CB9B" w14:textId="62EA350B" w:rsidR="001A678C" w:rsidRPr="005074A3" w:rsidRDefault="001A678C" w:rsidP="006676E8">
            <w:pPr>
              <w:pStyle w:val="ListParagraph"/>
              <w:numPr>
                <w:ilvl w:val="0"/>
                <w:numId w:val="3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>Plan movement breaks and classroom jobs (</w:t>
            </w:r>
            <w:proofErr w:type="spellStart"/>
            <w:r>
              <w:rPr>
                <w:rFonts w:ascii="Topmarks" w:hAnsi="Topmarks"/>
                <w:sz w:val="18"/>
                <w:szCs w:val="18"/>
              </w:rPr>
              <w:t>e.g</w:t>
            </w:r>
            <w:proofErr w:type="spellEnd"/>
            <w:r>
              <w:rPr>
                <w:rFonts w:ascii="Topmarks" w:hAnsi="Topmarks"/>
                <w:sz w:val="18"/>
                <w:szCs w:val="18"/>
              </w:rPr>
              <w:t>, handing out materials</w:t>
            </w:r>
            <w:r w:rsidR="00026F90">
              <w:rPr>
                <w:rFonts w:ascii="Topmarks" w:hAnsi="Topmarks"/>
                <w:sz w:val="18"/>
                <w:szCs w:val="18"/>
              </w:rPr>
              <w:t xml:space="preserve">) for individual learners. </w:t>
            </w:r>
          </w:p>
          <w:p w14:paraId="7CE81182" w14:textId="77777777" w:rsidR="006676E8" w:rsidRPr="005074A3" w:rsidRDefault="006676E8" w:rsidP="006676E8">
            <w:pPr>
              <w:shd w:val="clear" w:color="auto" w:fill="FFFFFF"/>
              <w:spacing w:after="180"/>
              <w:rPr>
                <w:rFonts w:ascii="Topmarks" w:hAnsi="Topmarks"/>
                <w:sz w:val="18"/>
                <w:szCs w:val="18"/>
              </w:rPr>
            </w:pPr>
          </w:p>
          <w:p w14:paraId="65C8800C" w14:textId="5062B6BC" w:rsidR="00CB33C2" w:rsidRPr="005074A3" w:rsidRDefault="00CB33C2" w:rsidP="009C6796">
            <w:pPr>
              <w:rPr>
                <w:rFonts w:ascii="Topmarks" w:hAnsi="Topmarks"/>
                <w:sz w:val="18"/>
                <w:szCs w:val="18"/>
              </w:rPr>
            </w:pPr>
          </w:p>
        </w:tc>
        <w:tc>
          <w:tcPr>
            <w:tcW w:w="7276" w:type="dxa"/>
          </w:tcPr>
          <w:p w14:paraId="156EC802" w14:textId="77777777" w:rsidR="003C395C" w:rsidRDefault="003C395C" w:rsidP="009C6796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</w:pPr>
            <w:r w:rsidRPr="005074A3"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  <w:t>How can I support learners who struggle with change and transition?</w:t>
            </w:r>
          </w:p>
          <w:p w14:paraId="6F7F6AE7" w14:textId="77777777" w:rsidR="00ED2DD5" w:rsidRDefault="00026F90" w:rsidP="00ED2DD5">
            <w:pPr>
              <w:pStyle w:val="ListParagraph"/>
              <w:numPr>
                <w:ilvl w:val="0"/>
                <w:numId w:val="10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 xml:space="preserve">Science doesn’t always follow the same lesson format and structure, so prepare </w:t>
            </w:r>
            <w:r w:rsidR="00966370">
              <w:rPr>
                <w:rFonts w:ascii="Topmarks" w:hAnsi="Topmarks"/>
                <w:sz w:val="20"/>
                <w:szCs w:val="20"/>
              </w:rPr>
              <w:t xml:space="preserve">learners in advance by explaining how the lesson will run. </w:t>
            </w:r>
          </w:p>
          <w:p w14:paraId="379ED063" w14:textId="77777777" w:rsidR="00966370" w:rsidRDefault="00966370" w:rsidP="00ED2DD5">
            <w:pPr>
              <w:pStyle w:val="ListParagraph"/>
              <w:numPr>
                <w:ilvl w:val="0"/>
                <w:numId w:val="10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>Use visuals (</w:t>
            </w:r>
            <w:proofErr w:type="gramStart"/>
            <w:r>
              <w:rPr>
                <w:rFonts w:ascii="Topmarks" w:hAnsi="Topmarks"/>
                <w:sz w:val="20"/>
                <w:szCs w:val="20"/>
              </w:rPr>
              <w:t>e.g..</w:t>
            </w:r>
            <w:proofErr w:type="gramEnd"/>
            <w:r>
              <w:rPr>
                <w:rFonts w:ascii="Topmarks" w:hAnsi="Topmarks"/>
                <w:sz w:val="20"/>
                <w:szCs w:val="20"/>
              </w:rPr>
              <w:t xml:space="preserve"> now, next then boards or visual timetables) to segment the lesson into manageable chunks that are achievable for the learner. </w:t>
            </w:r>
          </w:p>
          <w:p w14:paraId="57E54BE3" w14:textId="0CB7FEF2" w:rsidR="00966370" w:rsidRPr="00ED2DD5" w:rsidRDefault="00966370" w:rsidP="00ED2DD5">
            <w:pPr>
              <w:pStyle w:val="ListParagraph"/>
              <w:numPr>
                <w:ilvl w:val="0"/>
                <w:numId w:val="10"/>
              </w:numPr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>Think about the individual learner – some learners may be high</w:t>
            </w:r>
            <w:r w:rsidR="00271212">
              <w:rPr>
                <w:rFonts w:ascii="Topmarks" w:hAnsi="Topmarks"/>
                <w:sz w:val="20"/>
                <w:szCs w:val="20"/>
              </w:rPr>
              <w:t xml:space="preserve">ly motivated if they know something in advance of </w:t>
            </w:r>
            <w:proofErr w:type="gramStart"/>
            <w:r w:rsidR="00271212">
              <w:rPr>
                <w:rFonts w:ascii="Topmarks" w:hAnsi="Topmarks"/>
                <w:sz w:val="20"/>
                <w:szCs w:val="20"/>
              </w:rPr>
              <w:t>the a</w:t>
            </w:r>
            <w:proofErr w:type="gramEnd"/>
            <w:r w:rsidR="00271212">
              <w:rPr>
                <w:rFonts w:ascii="Topmarks" w:hAnsi="Topmarks"/>
                <w:sz w:val="20"/>
                <w:szCs w:val="20"/>
              </w:rPr>
              <w:t xml:space="preserve"> lesson. Show them an object, or picture about the lesson. </w:t>
            </w:r>
          </w:p>
        </w:tc>
        <w:tc>
          <w:tcPr>
            <w:tcW w:w="7276" w:type="dxa"/>
          </w:tcPr>
          <w:p w14:paraId="3CA4F791" w14:textId="668B8E89" w:rsidR="003C395C" w:rsidRPr="005074A3" w:rsidRDefault="003C395C" w:rsidP="009C6796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</w:pPr>
            <w:r w:rsidRPr="005074A3"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  <w:t>How can I support learners who need additional time to develop conceptual understanding?</w:t>
            </w:r>
          </w:p>
          <w:p w14:paraId="2A6838B9" w14:textId="77777777" w:rsidR="00FD429E" w:rsidRPr="005074A3" w:rsidRDefault="00FD429E" w:rsidP="009C6796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  <w:u w:val="single"/>
              </w:rPr>
            </w:pPr>
          </w:p>
          <w:p w14:paraId="14A446A1" w14:textId="77777777" w:rsidR="002E39D8" w:rsidRDefault="002E39D8" w:rsidP="002E39D8">
            <w:pPr>
              <w:pStyle w:val="ListParagraph"/>
              <w:numPr>
                <w:ilvl w:val="0"/>
                <w:numId w:val="5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Provide pre-teaching opportunities for learners to hear vocabulary prior to the lesson to support their access and engagement in whole-class teaching. </w:t>
            </w:r>
          </w:p>
          <w:p w14:paraId="7D364110" w14:textId="77777777" w:rsidR="002E39D8" w:rsidRDefault="002E39D8" w:rsidP="002E39D8">
            <w:pPr>
              <w:pStyle w:val="ListParagraph"/>
              <w:numPr>
                <w:ilvl w:val="0"/>
                <w:numId w:val="5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Plan small group teaching opportunities, for example whilst learners who have already met an objective are doing enrichment activities independently, dedicate time to conference with and/or provide additional learning opportunities for learning working towards the learning objective. </w:t>
            </w:r>
          </w:p>
          <w:p w14:paraId="256AF3F5" w14:textId="77777777" w:rsidR="002E39D8" w:rsidRPr="005074A3" w:rsidRDefault="002E39D8" w:rsidP="002E39D8">
            <w:pPr>
              <w:pStyle w:val="ListParagraph"/>
              <w:numPr>
                <w:ilvl w:val="0"/>
                <w:numId w:val="5"/>
              </w:numPr>
              <w:rPr>
                <w:rFonts w:ascii="Topmarks" w:hAnsi="Topmarks"/>
                <w:sz w:val="18"/>
                <w:szCs w:val="18"/>
              </w:rPr>
            </w:pPr>
            <w:r>
              <w:rPr>
                <w:rFonts w:ascii="Topmarks" w:hAnsi="Topmarks"/>
                <w:sz w:val="18"/>
                <w:szCs w:val="18"/>
              </w:rPr>
              <w:t xml:space="preserve">Provide learners with worked examples to use as a model whilst completing independent work. </w:t>
            </w:r>
          </w:p>
          <w:p w14:paraId="129D2327" w14:textId="1FBA5835" w:rsidR="003C395C" w:rsidRPr="005074A3" w:rsidRDefault="003C395C" w:rsidP="009C6796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5074A3">
              <w:rPr>
                <w:rFonts w:ascii="Topmarks" w:hAnsi="Topmarks"/>
                <w:sz w:val="18"/>
                <w:szCs w:val="18"/>
              </w:rPr>
              <w:tab/>
            </w:r>
          </w:p>
        </w:tc>
      </w:tr>
    </w:tbl>
    <w:p w14:paraId="1960AA8D" w14:textId="54FDB95A" w:rsidR="003C395C" w:rsidRDefault="007554CF" w:rsidP="007554CF">
      <w:pPr>
        <w:rPr>
          <w:rFonts w:ascii="Topmarks" w:hAnsi="Topmarks"/>
          <w:b/>
          <w:bCs/>
          <w:sz w:val="24"/>
          <w:szCs w:val="24"/>
          <w:u w:val="single"/>
        </w:rPr>
      </w:pPr>
      <w:r w:rsidRPr="007554CF">
        <w:rPr>
          <w:rFonts w:ascii="Topmarks" w:hAnsi="Topmarks"/>
          <w:b/>
          <w:bCs/>
          <w:sz w:val="24"/>
          <w:szCs w:val="24"/>
          <w:u w:val="single"/>
        </w:rPr>
        <w:t>Creating an inclusive environment</w:t>
      </w:r>
    </w:p>
    <w:p w14:paraId="24BCA10A" w14:textId="2B869B3F" w:rsidR="007554CF" w:rsidRDefault="007554CF" w:rsidP="007554CF">
      <w:pPr>
        <w:pStyle w:val="ListParagraph"/>
        <w:numPr>
          <w:ilvl w:val="0"/>
          <w:numId w:val="1"/>
        </w:numPr>
        <w:rPr>
          <w:rFonts w:ascii="Topmarks" w:hAnsi="Topmarks"/>
          <w:sz w:val="24"/>
          <w:szCs w:val="24"/>
        </w:rPr>
      </w:pPr>
      <w:r>
        <w:rPr>
          <w:rFonts w:ascii="Topmarks" w:hAnsi="Topmarks"/>
          <w:sz w:val="24"/>
          <w:szCs w:val="24"/>
        </w:rPr>
        <w:t>Opportunities to work independently and alongside peers</w:t>
      </w:r>
    </w:p>
    <w:p w14:paraId="102BD7CB" w14:textId="78BC72A9" w:rsidR="007554CF" w:rsidRDefault="007554CF" w:rsidP="007554CF">
      <w:pPr>
        <w:pStyle w:val="ListParagraph"/>
        <w:numPr>
          <w:ilvl w:val="0"/>
          <w:numId w:val="1"/>
        </w:numPr>
        <w:rPr>
          <w:rFonts w:ascii="Topmarks" w:hAnsi="Topmarks"/>
          <w:sz w:val="24"/>
          <w:szCs w:val="24"/>
        </w:rPr>
      </w:pPr>
      <w:r>
        <w:rPr>
          <w:rFonts w:ascii="Topmarks" w:hAnsi="Topmarks"/>
          <w:sz w:val="24"/>
          <w:szCs w:val="24"/>
        </w:rPr>
        <w:t>Opportunities to talk through ideas with teachers and peers with scaffolding such as sentence frames, visual support and learning partners</w:t>
      </w:r>
    </w:p>
    <w:p w14:paraId="7087C8C2" w14:textId="530FAFAE" w:rsidR="007554CF" w:rsidRDefault="007554CF" w:rsidP="007554CF">
      <w:pPr>
        <w:pStyle w:val="ListParagraph"/>
        <w:numPr>
          <w:ilvl w:val="0"/>
          <w:numId w:val="1"/>
        </w:numPr>
        <w:rPr>
          <w:rFonts w:ascii="Topmarks" w:hAnsi="Topmarks"/>
          <w:sz w:val="24"/>
          <w:szCs w:val="24"/>
        </w:rPr>
      </w:pPr>
      <w:r>
        <w:rPr>
          <w:rFonts w:ascii="Topmarks" w:hAnsi="Topmarks"/>
          <w:sz w:val="24"/>
          <w:szCs w:val="24"/>
        </w:rPr>
        <w:t xml:space="preserve">Opportunities to use concrete resources </w:t>
      </w:r>
    </w:p>
    <w:p w14:paraId="1BD37C15" w14:textId="0E479769" w:rsidR="007554CF" w:rsidRDefault="007554CF" w:rsidP="007554CF">
      <w:pPr>
        <w:pStyle w:val="ListParagraph"/>
        <w:numPr>
          <w:ilvl w:val="0"/>
          <w:numId w:val="1"/>
        </w:numPr>
        <w:rPr>
          <w:rFonts w:ascii="Topmarks" w:hAnsi="Topmarks"/>
          <w:sz w:val="24"/>
          <w:szCs w:val="24"/>
        </w:rPr>
      </w:pPr>
      <w:r>
        <w:rPr>
          <w:rFonts w:ascii="Topmarks" w:hAnsi="Topmarks"/>
          <w:sz w:val="24"/>
          <w:szCs w:val="24"/>
        </w:rPr>
        <w:t xml:space="preserve">Opportunities to learn core knowledge so that children are less likely to make mistakes. </w:t>
      </w:r>
    </w:p>
    <w:p w14:paraId="6B885615" w14:textId="4B6F7D78" w:rsidR="007554CF" w:rsidRPr="007554CF" w:rsidRDefault="007554CF" w:rsidP="007554CF">
      <w:pPr>
        <w:pStyle w:val="ListParagraph"/>
        <w:numPr>
          <w:ilvl w:val="0"/>
          <w:numId w:val="1"/>
        </w:numPr>
        <w:rPr>
          <w:rFonts w:ascii="Topmarks" w:hAnsi="Topmarks"/>
          <w:sz w:val="24"/>
          <w:szCs w:val="24"/>
        </w:rPr>
      </w:pPr>
      <w:r>
        <w:rPr>
          <w:rFonts w:ascii="Topmarks" w:hAnsi="Topmarks"/>
          <w:sz w:val="24"/>
          <w:szCs w:val="24"/>
        </w:rPr>
        <w:t>Culture where mistakes are embraced and viewed as part of the learning process</w:t>
      </w:r>
    </w:p>
    <w:sectPr w:rsidR="007554CF" w:rsidRPr="007554CF" w:rsidSect="003C395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opmarks">
    <w:altName w:val="Calibri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D1B15"/>
    <w:multiLevelType w:val="hybridMultilevel"/>
    <w:tmpl w:val="4F004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F487D"/>
    <w:multiLevelType w:val="hybridMultilevel"/>
    <w:tmpl w:val="5FC0C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107C6"/>
    <w:multiLevelType w:val="multilevel"/>
    <w:tmpl w:val="B7AE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FD7523"/>
    <w:multiLevelType w:val="hybridMultilevel"/>
    <w:tmpl w:val="07F0B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A661C"/>
    <w:multiLevelType w:val="hybridMultilevel"/>
    <w:tmpl w:val="5A664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97D39"/>
    <w:multiLevelType w:val="multilevel"/>
    <w:tmpl w:val="95020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985658"/>
    <w:multiLevelType w:val="hybridMultilevel"/>
    <w:tmpl w:val="93CA4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D2147F"/>
    <w:multiLevelType w:val="hybridMultilevel"/>
    <w:tmpl w:val="0C128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3D24C8"/>
    <w:multiLevelType w:val="hybridMultilevel"/>
    <w:tmpl w:val="9CFE4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567656"/>
    <w:multiLevelType w:val="hybridMultilevel"/>
    <w:tmpl w:val="42483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3329459">
    <w:abstractNumId w:val="9"/>
  </w:num>
  <w:num w:numId="2" w16cid:durableId="2079742871">
    <w:abstractNumId w:val="5"/>
  </w:num>
  <w:num w:numId="3" w16cid:durableId="1959221644">
    <w:abstractNumId w:val="4"/>
  </w:num>
  <w:num w:numId="4" w16cid:durableId="1910186382">
    <w:abstractNumId w:val="2"/>
  </w:num>
  <w:num w:numId="5" w16cid:durableId="1797530422">
    <w:abstractNumId w:val="6"/>
  </w:num>
  <w:num w:numId="6" w16cid:durableId="1385450038">
    <w:abstractNumId w:val="7"/>
  </w:num>
  <w:num w:numId="7" w16cid:durableId="306131527">
    <w:abstractNumId w:val="8"/>
  </w:num>
  <w:num w:numId="8" w16cid:durableId="1755316862">
    <w:abstractNumId w:val="3"/>
  </w:num>
  <w:num w:numId="9" w16cid:durableId="394475109">
    <w:abstractNumId w:val="1"/>
  </w:num>
  <w:num w:numId="10" w16cid:durableId="1174371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95C"/>
    <w:rsid w:val="00026F90"/>
    <w:rsid w:val="00045D5B"/>
    <w:rsid w:val="000472F1"/>
    <w:rsid w:val="00065729"/>
    <w:rsid w:val="00101446"/>
    <w:rsid w:val="00114C91"/>
    <w:rsid w:val="00134A27"/>
    <w:rsid w:val="00175309"/>
    <w:rsid w:val="0018344C"/>
    <w:rsid w:val="001A678C"/>
    <w:rsid w:val="0020486A"/>
    <w:rsid w:val="002546FC"/>
    <w:rsid w:val="00271212"/>
    <w:rsid w:val="002C7982"/>
    <w:rsid w:val="002E39D8"/>
    <w:rsid w:val="003B7AED"/>
    <w:rsid w:val="003C395C"/>
    <w:rsid w:val="00416EF2"/>
    <w:rsid w:val="004351BC"/>
    <w:rsid w:val="00471D44"/>
    <w:rsid w:val="00490CE7"/>
    <w:rsid w:val="004C3058"/>
    <w:rsid w:val="00503CEC"/>
    <w:rsid w:val="005074A3"/>
    <w:rsid w:val="006676E8"/>
    <w:rsid w:val="006A1089"/>
    <w:rsid w:val="007554CF"/>
    <w:rsid w:val="00782A9E"/>
    <w:rsid w:val="00787DC4"/>
    <w:rsid w:val="00790ABA"/>
    <w:rsid w:val="007A013B"/>
    <w:rsid w:val="00822AB5"/>
    <w:rsid w:val="008672E7"/>
    <w:rsid w:val="008C5DDA"/>
    <w:rsid w:val="00961287"/>
    <w:rsid w:val="00966370"/>
    <w:rsid w:val="009B64CA"/>
    <w:rsid w:val="009C6796"/>
    <w:rsid w:val="00A2306A"/>
    <w:rsid w:val="00A80F06"/>
    <w:rsid w:val="00AC6A9C"/>
    <w:rsid w:val="00B018FE"/>
    <w:rsid w:val="00B110D8"/>
    <w:rsid w:val="00B41B5B"/>
    <w:rsid w:val="00C1210D"/>
    <w:rsid w:val="00C36168"/>
    <w:rsid w:val="00CB33C2"/>
    <w:rsid w:val="00DD6D84"/>
    <w:rsid w:val="00E2357C"/>
    <w:rsid w:val="00EB433C"/>
    <w:rsid w:val="00ED2DD5"/>
    <w:rsid w:val="00ED3A99"/>
    <w:rsid w:val="00F00928"/>
    <w:rsid w:val="00F505FE"/>
    <w:rsid w:val="00F87214"/>
    <w:rsid w:val="00FD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980F2"/>
  <w15:chartTrackingRefBased/>
  <w15:docId w15:val="{0960579C-512C-49A9-9B68-B8863C635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3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5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4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C3165C4202642A8B9CB6A9D60FD96" ma:contentTypeVersion="16" ma:contentTypeDescription="Create a new document." ma:contentTypeScope="" ma:versionID="5755fe7e0815efd2c4f3b3e1f327de09">
  <xsd:schema xmlns:xsd="http://www.w3.org/2001/XMLSchema" xmlns:xs="http://www.w3.org/2001/XMLSchema" xmlns:p="http://schemas.microsoft.com/office/2006/metadata/properties" xmlns:ns2="4d645f34-9187-4240-a1b2-ba8ab3d182d4" xmlns:ns3="adffa80a-b630-420b-ba66-27fcf89fd213" targetNamespace="http://schemas.microsoft.com/office/2006/metadata/properties" ma:root="true" ma:fieldsID="a6d7c5c3e0121d5f30075c8b299bf1f7" ns2:_="" ns3:_="">
    <xsd:import namespace="4d645f34-9187-4240-a1b2-ba8ab3d182d4"/>
    <xsd:import namespace="adffa80a-b630-420b-ba66-27fcf89fd2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645f34-9187-4240-a1b2-ba8ab3d182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120689-8e3a-4526-a671-b1a5bcde41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ffa80a-b630-420b-ba66-27fcf89fd21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2476ee8-deb3-4115-b8f0-7d7c1c3ee043}" ma:internalName="TaxCatchAll" ma:showField="CatchAllData" ma:web="adffa80a-b630-420b-ba66-27fcf89fd2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645f34-9187-4240-a1b2-ba8ab3d182d4">
      <Terms xmlns="http://schemas.microsoft.com/office/infopath/2007/PartnerControls"/>
    </lcf76f155ced4ddcb4097134ff3c332f>
    <TaxCatchAll xmlns="adffa80a-b630-420b-ba66-27fcf89fd213" xsi:nil="true"/>
  </documentManagement>
</p:properties>
</file>

<file path=customXml/itemProps1.xml><?xml version="1.0" encoding="utf-8"?>
<ds:datastoreItem xmlns:ds="http://schemas.openxmlformats.org/officeDocument/2006/customXml" ds:itemID="{71AF4486-F857-4EEE-87E5-74485BAD7F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4DB19F-6603-41AF-85DA-EC51BEA7D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645f34-9187-4240-a1b2-ba8ab3d182d4"/>
    <ds:schemaRef ds:uri="adffa80a-b630-420b-ba66-27fcf89fd2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A18EB5-2A33-4C46-A747-481985D03E34}">
  <ds:schemaRefs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adffa80a-b630-420b-ba66-27fcf89fd213"/>
    <ds:schemaRef ds:uri="http://purl.org/dc/dcmitype/"/>
    <ds:schemaRef ds:uri="http://purl.org/dc/elements/1.1/"/>
    <ds:schemaRef ds:uri="http://schemas.openxmlformats.org/package/2006/metadata/core-properties"/>
    <ds:schemaRef ds:uri="4d645f34-9187-4240-a1b2-ba8ab3d182d4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Critchley</dc:creator>
  <cp:keywords/>
  <dc:description/>
  <cp:lastModifiedBy>Natalie Vaughan</cp:lastModifiedBy>
  <cp:revision>22</cp:revision>
  <dcterms:created xsi:type="dcterms:W3CDTF">2023-11-15T09:53:00Z</dcterms:created>
  <dcterms:modified xsi:type="dcterms:W3CDTF">2023-11-15T10:12:00Z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0x010100AD1C3165C4202642A8B9CB6A9D60FD96</vt:lpwstr>
  </property>
</Properties>
</file>